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ТЕХНИЧЕСКИЕ ТРЕБОВАНИЯ К АВТОМОБИЛЯМ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left="283" w:right="0" w:hanging="454"/>
        <w:jc w:val="left"/>
        <w:rPr>
          <w:rFonts w:ascii="Verdana" w:cs="Verdana" w:eastAsia="Verdana" w:hAnsi="Verdana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1.1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Допускаются кузовные легковые автомобили серийного производства с двигателями внутреннего сгорания, с закрытыми колесами, капотом, лобовым стеклом, с приводом исключительно на заднюю ось, подготовленные в соответствии с настоящими Техническими требованиями (далее ТТ).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1.2.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Допускаются внесённые в автомобиль изменения, благодаря которым привод осуществляется только на заднюю ось. К участию не допускаются автомобили, привод которых изменён на задний с применением электронных устройств (контроллеры полного привода).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4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Ни одна деталь автомобиля, стоящего на колесах (кроме эластичных брызговиков), не должна касаться поверхности дороги, даже если спущены обе шины с одной стороны автомобиля.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1.4.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Автомобиль не должен иметь течей ГСМ (горюче-смазочных материалов).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1.5. Автомобиль, конструкция которого признана опасной, может быть не допущен к участию решением Технического комиссара.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4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4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 ДВИГАТЕЛЬ И ЕГО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4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Рабочий объем и модель двигателя не ограничены.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3" w:right="0" w:hanging="4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Разрешается открытая система вентиляции картера с применением маслоуловительного бачка из прозрачного пластика или имеющего прозрачную панель.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Запрещено устанавливать вентиляционный бачок картерных газов вблизи элементов системы выпуска отработанных выхлопных газов.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2.3.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На всех автомобилях должна быть установлена система выпуска отработавших газов от двигателя, направленная в сторону от водителя и топливного бака. Система выпуска должна быть металлической. Все компоненты системы выпуска должны быть надежно соединены друг с другом, а также с кузовом или рамой автомобиля и не выступать за периметр автомобиля, видимый сверху, более чем на 100 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2.4.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Разрешено любое жидкое углеводородное топливо (бензин, дизельное топливо, бутан-пропановая газовая смесь). При использовании в качестве топлива газовой смеси необходимо иметь паспорт на газовое оборудование и свидетельство об установке оборудования на специализированном предприятии.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2.5. 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Использование метанола, нитрометана, оксидпропилена и гидразина запрещено.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2.6. 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Оригинальный расширительный бачок охлаждающей жидкости может быть заменен на другой, при условиях что емкость нового бачка составляет не более 2 л и бачок установлен в моторном отсеке.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2.7.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В случае нахождения в салоне элементов системы охлаждения с теплоносителем, эти элементы должны быть закрыты защитными термостойкими кожухами.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4. ЭЛЕКТРООБОРУДОВАНИЕ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4.1. 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Осветительные приборы (передние фары, либо противотуманные фары, расположенные спереди, а также задние фонари) должны быть исправны.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4.2.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Разрешается снятие одной фары и/или фар дальнего света, если они выполнены в отдельном от фар ближнего света корпусе.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Если фары автомобиля выполнены из стекла, то они должны быть дополнительно оклеены прозрачной плёнкой, не позволяющей разлететься осколкам в случае их разбивания.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4.3. 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Рекомендуется оборудовать автомобиль главным выключателем электрооборудования.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Этот выключатель должен выключать всё электрооборудование автомобиля, включая цепь зажигания (т.е. глушить двигатель).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Он должен иметь два привода: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– внутренний, доступный водителю, нормально сидящему на своем месте и пристегнутому ремнями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– наружный, расположенный перед лобовым стеклом. Он должен иметь ясно обозначенные положения «Включено» и «Выключено». Выключатель обозначается красной стрелкой в голубом треугольнике с белой окантовкой. Сторона треугольника по окантовке не менее 120 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4.4.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Для автомобилей, оборудованных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вварным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каркасом безопасности,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обязательна установка наружного и внутреннего главных выключателей электрооборудования.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4.5.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Аккумулятор должен быть надежно закреплен и его клеммы должны быть закрыты сверху диэлектрическим материалом (пластмассы или резина).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Допускается изменение расположения аккумулятора.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4.6. 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Допускается прокладка внутри автомобиля силовых проводов. Они должны быть надежно закреплены на кузовных панелях. Для их прохождения через перегородки между багажником, салоном и моторным отсеком допускается просверлить в каждой перегородке отверстия. Зазоры в этих отверстиях должны быть уплотнены.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Контакт проводов с острыми кромками отверстий не допускается.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4.7.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Разрешено модернизировать и прокладывать электропроводку на своё усмотрение, при условии обеспечения работоспособности световых приборов и щёток стеклоочистителей.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Электропроводка и все контакты должны быть заизолированы.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4.8.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Отверстия в кузове для прохода пучков проводов должны иметь резиновую окантовку, плотно охватывающую проходящий пучок проводов.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ind w:left="283" w:right="0" w:hanging="454"/>
        <w:jc w:val="left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5. ТРУБОПРОВОДЫ И НАСОСЫ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5.1.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Разрешается размещение трубопроводов в салоне, при этом они должны быть металлическими или авиационного типа. Топливопроводы в салоне не должны иметь разъемов, кроме резьбовых разъемов в местах прохождения через панели кузова.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5.2. 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При расположении топливных насосов внутри салона необходимо заключить их в контейнер, устойчивый к жидкостям и пламени.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5.3.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Допускается замена оригинального топливного бака на неоригинальный.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5.4.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Магистрали для охлаждения масла ДВС могут быть металлическими или авиационного типа (маслостойкий шланг в металлической оплётке). Месторасположение радиатора охлаждения масла ДВС свободное, но он не должен выступать за периметр автомобиля, видимый сверху, в любом случае он должен быть надёжно закреплён к неподвижным элементам кузова и не иметь течей.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5.5.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Запрещается прокладка топливных, масляных, тормозных магистралей в непосредственной близости от карданного вала.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5.6. Топливный бак должен быть надежно закреплен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 КУЗОВ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5"/>
        </w:tabs>
        <w:spacing w:after="0" w:before="0" w:line="240" w:lineRule="auto"/>
        <w:ind w:left="283" w:right="0" w:hanging="4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Рекомендовано наличие каркаса безопасности, соответствующего Главе 8 Статьи 253 Приложения «J» МСК FIA и Приложению 14 КиТТ. Так же допускаются болтовые каркасы безопасности.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5"/>
        </w:tabs>
        <w:spacing w:after="0" w:before="0" w:line="240" w:lineRule="auto"/>
        <w:ind w:left="283" w:right="0" w:hanging="4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Для автомобилей с открытым верхом обязательно применение каркаса, соответствующего главе 8 статьи 253 приложения «J» МСК FIA.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5"/>
        </w:tabs>
        <w:spacing w:after="0" w:before="0" w:line="240" w:lineRule="auto"/>
        <w:ind w:left="283" w:right="0" w:hanging="4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6.3.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местах, где возможен контакт частей тела водителя с каркасом безопасности, рекомендуется применять для защиты невоспламеняющиеся накладки на каркас.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6.4.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На автомобилях,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не оборудованных вварным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каркасом безопасности, должны быть установлены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двери, предусмотренные заводом-изготовителем.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Использование дверей из композитных материалов запрещено. Также запрещается вносить изменения в заводскую конструкцию дверей.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6.5.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 Разрешается заменять материал обивки дверей на металлический материал толщиной не менее 1мм и неметаллический материал толщиной не менее 2 мм, не поддерживающий горение. На автомобилях с типом кузова «седан» и имеющих 4 двери разрешается удаление внутренних обшивок задних пассажирских дверей.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6.6.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На автомобилях,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оборудованных вварным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каркасом безопасности, разрешается использование дверей из композитных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6.7.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Д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опускается установка боковых и задних стекол, выполненных из поликарбоната (прозрачный пластик, не образующий острых кромок при его разрушении), толщиной не менее 3 мм и жестко закрепленных. Рекомендуется их вклеивание или установка соответствующих уплотнителей.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6.8.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При условии замены стекол на стекла, выполненные из поликарбоната, разрешается демонтаж штатного устройства подъема стекла, а также монтаж в боковых стеклах из поликарбоната сдвижных форточек для вентиляции воздуха размером не более 25х35 см.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6.9. 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Обязательно применение только оригинального (предусмотренного заводом-изготовителем) лобового стекла.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6.10.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Лобовые стекла должны быть только многослойными. На лобовом стекле не допускаются сквозные трещины и сколы на внутренней поверхности. При их возникновении, равно как и при утрате любого стекла в ходе соревнования, водители должны использовать шлемы закрытого типа с защитными стеклами.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6.11.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Автомобиль должен быть оборудован эффективно действующим очистителем лобового стекла, который должны обеспечивать обзор со стороны водителя.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6.12.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Разрешается удалять переднее пассажирское сидение, задние сидения (подушки и спинки) с элементами крепления, обивку потолка вместе с креплениями, оригинальные подлокотники, ковры и термо-шумоизоляцию салона. Разрешается удалять обивку багажника.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6.13.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На автомобилях, оборудованных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вварным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каркасом безопасности разрешается удалять центральную консоль («торпеду») с элементами её крепления, а также кожух рулевой колонки.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На автомобилях,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не оборудованных вварным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каркасом безопасности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запрещается удалять центральную консоль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(«торпеду») с элементами её крепления.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ind w:left="283" w:right="0" w:hanging="454"/>
        <w:jc w:val="left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6.14. Используемые сидения должны быть заменены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на сидения спортивного типа с боковой поддержкой, рекомендуется использование сидений с действующей или просроченной омологацией FIA (Стандарт 8855/1999 или 8862/2009) или РАФ (РАФ-С-04/03, РАФ-С-04/01, РАФ-С-05/01).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6.15.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Автомобиль Участника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должен быть оборудован ремнями безопасности минимум с 4мя точками крепления.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6.16.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Ремни не должны иметь надрывов или потертостей материала строп, деформации или коррозии металлических частей. Любой комплект ремней, который не функционирует в полной мере или повреждён, должен быть заменен.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6.17. 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К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репление ремней безопасности должно осуществляться согласно ст. 253.6.2. приложения «J» МСК FIA.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6.18.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Салон автомобиля должен быть отделен от моторного отсека и топливного бака, включая его заправочную трубу и горловину, перегородками из негорючего материала, непроницаемыми для жидкостей и пламени. Моторный щит может подвергаться модификациям с применением материала с не худшими характеристиками, чем заводской.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6.19.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Механизмы запирания дверей и капотов должны быть в рабочем состоянии.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Рекомендуется использование быстросъемных механизмов запирания капота.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6.20.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Разрешается замена крыльев, капота и крышки багажника на аналоги, изготовленные из стекловолокна или пластика.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Не допускается отсутствие внешних элементов кузова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(передние и задние крылья, капот, крышка багажника, двери). Исключение составляют передний и задний бампер.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6.21.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Спереди и сзади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автомобиль должен быть оборудован буксировочными проушинами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(кольцами), выступающими за периметр автомобиля не более чем на 100 мм и способными выдержать усилие, применяемое к ней для буксировки автомобиля. Допускается применение проушин для буксировки автомобиля из гибкого материала (трос, ремень и иные материалы). Также возможно применение жёсткой проушины с эластичной петлей (рекомендовано для автомобилей со стандартными проушинами для буксировки). Проушины должны быть окрашены в яркий, контрастный с основным цветом кузова, цвет.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Обязательно нанесение указателя места расположения буксировочной проушины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, выполненного в виде стрелки, окрашенной в контрастный яркий цвет.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6.22.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Удаление наружных зеркал заднего вида запрещено.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vertAlign w:val="baseline"/>
          <w:rtl w:val="0"/>
        </w:rPr>
        <w:t xml:space="preserve">6.23.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Разрешается изменение кузова для организации привода на заднюю ось.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ind w:left="283" w:right="0" w:hanging="454"/>
        <w:jc w:val="left"/>
        <w:rPr>
          <w:rFonts w:ascii="Verdana" w:cs="Verdana" w:eastAsia="Verdana" w:hAnsi="Verdan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7. КОЛЕСА И ШИНЫ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7.1.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Запрещается применение шин, имеющих повреждения каркаса.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7.2.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Применение шипованных шин и шин с внедорожным протектором (с грунтозацепами или резиновыми шипами) запрещено.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7.3.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На время проведения Соревнования запасные колеса и нештатные кронштейны их крепления должны быть удалены.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7.4.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Декоративные колпаки, закрывающие колёсный диск, должны быть демонтированы.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7.5.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Запрещается демонтаж хотя бы одной шпильки или одного болта крепления колеса.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Шпильки не должны выступать за плоскость установленного комплектного колеса.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7.6.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Разрешается применение только шин, сертифицированных для дорог общего пользования (на боковине должно быть нанесено фабричным способом клеймо в виде буквы «Е» с индексом в круге или знак «РСТ», либо обозначение DOT).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7.7.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Комплектное колесо не должно выступать за периметр кузова, видимый сверху.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7.8.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Тип и размер шин не регламентируется.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8. ТОРМОЗНАЯ СИСТЕМА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8.1.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Все автомобили должны иметь исправную тормозную систему.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8.2.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При расположении магистралей внутри кузова для их прохождения через перегородки между моторным отсеком и салоном, между салоном и багажником допускается выполнение минимально необходимых отверстий. При этом возможные зазоры в отверстиях должны быть герметично и надежно уплотнены.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8.3.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Оригинальные резиновые тормозные шланги также могут быть заменены гибкими шлангами авиационного типа, для их присоединения должны применяться соответствующие адаптеры.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8.4. </w:t>
      </w:r>
      <w:r w:rsidDel="00000000" w:rsidR="00000000" w:rsidRPr="00000000">
        <w:rPr>
          <w:rFonts w:ascii="Verdana" w:cs="Verdana" w:eastAsia="Verdana" w:hAnsi="Verdana"/>
          <w:b w:val="1"/>
          <w:i w:val="0"/>
          <w:color w:val="000000"/>
          <w:sz w:val="22"/>
          <w:szCs w:val="22"/>
          <w:u w:val="none"/>
          <w:vertAlign w:val="baseline"/>
          <w:rtl w:val="0"/>
        </w:rPr>
        <w:t xml:space="preserve">Запрещается использование стояночного тормоза с механизмом фиксации. Заводской механизм фиксации должен быть удален.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10. РУЛЕВОЕ УПРАВЛЕНИЕ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10.1.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Для автомобилей с каркасами безопасности из рулевой колонки обязательно удалить блокирующее руль механическое противоугонное устройство замка зажигания.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10.2.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Обязательно надежное стопорение всех резьбовых соединений рулевого управления.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11. ОБОРУДОВАНИЕ БЕЗОПАСНОСТИ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11.1. Обязательно использование одежды, закрывающей все части тела. Шорты и верхняя одежда с коротким рукавом запрещены.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11.2.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Рекомедовано применение огнезащитных комбинезонов с действующей или просроченной омологацией, либо комбинезонов для картинга.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11.3. 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Рекомендуется применение перчаток и ботинок с действующей или просроченной омологацией.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tabs>
          <w:tab w:val="left" w:pos="2280"/>
        </w:tabs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11.4.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none"/>
          <w:vertAlign w:val="baseline"/>
          <w:rtl w:val="0"/>
        </w:rPr>
        <w:t xml:space="preserve">Обязательно применение закрытого или открытого защитного шлема.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11.5.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Не допускаются к использованию шлемы, у которых есть повреждения структуры (сколы, трещины, отслоение покрытий и внутренних слоев, вмятины и т.д.), значительные потертости и повреждения внутренних защитных слоёв (тканевых, пенопластовых и 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tabs>
          <w:tab w:val="left" w:pos="540"/>
          <w:tab w:val="left" w:pos="720"/>
        </w:tabs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11.6.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Рекомендовано оборудование автомобиля системой пожаротушения, соответствующей требованиям Ст.253.7.2 Приложения «J» МСК FIA или Приложению 6 п.3.7 КиТТ (Система «МАГ»).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tabs>
          <w:tab w:val="left" w:pos="540"/>
          <w:tab w:val="left" w:pos="720"/>
        </w:tabs>
        <w:ind w:left="283" w:right="0" w:hanging="454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11.7. Не допускается наличие в салоне и багажном отделении незакрепленных предметов.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851" w:top="766" w:left="945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hanging="397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6941819</wp:posOffset>
              </wp:positionH>
              <wp:positionV relativeFrom="paragraph">
                <wp:posOffset>306705</wp:posOffset>
              </wp:positionV>
              <wp:extent cx="366395" cy="174625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Нижнийколонтитул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0000-1" w:rsidRPr="000000-1">
                            <w:rPr>
                              <w:rStyle w:val="Номерстраницы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begin"/>
                          </w:r>
                          <w:r w:rsidDel="000000-1" w:rsidR="000000-1" w:rsidRPr="000000-1">
                            <w:rPr>
                              <w:rStyle w:val="Номерстраницы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instrText xml:space="preserve"> PAGE </w:instrText>
                          </w:r>
                          <w:r w:rsidDel="000000-1" w:rsidR="000000-1" w:rsidRPr="000000-1">
                            <w:rPr>
                              <w:rStyle w:val="Номерстраницы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separate"/>
                          </w:r>
                          <w:r w:rsidDel="000000-1" w:rsidR="000000-1" w:rsidRPr="000000-1">
                            <w:rPr>
                              <w:rStyle w:val="Номерстраницы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1</w:t>
                          </w:r>
                          <w:r w:rsidDel="000000-1" w:rsidR="000000-1" w:rsidRPr="000000-1">
                            <w:rPr>
                              <w:rStyle w:val="Номерстраницы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end"/>
                          </w:r>
                          <w:r w:rsidDel="000000-1" w:rsidR="000000-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0000-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6941819</wp:posOffset>
              </wp:positionH>
              <wp:positionV relativeFrom="paragraph">
                <wp:posOffset>306705</wp:posOffset>
              </wp:positionV>
              <wp:extent cx="366395" cy="17462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639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left" w:pos="4515"/>
        <w:tab w:val="right" w:pos="10204"/>
      </w:tabs>
      <w:rPr>
        <w:b w:val="1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tabs>
        <w:tab w:val="left" w:pos="4515"/>
        <w:tab w:val="right" w:pos="10204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